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ZAKON</w:t>
      </w:r>
      <w:r w:rsidRPr="00C80D4B">
        <w:rPr>
          <w:rFonts w:eastAsia="Calibri"/>
          <w:b/>
          <w:noProof/>
          <w:lang w:val="sr-Cyrl-CS"/>
        </w:rPr>
        <w:t xml:space="preserve"> </w:t>
      </w: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O</w:t>
      </w:r>
      <w:r w:rsidRPr="00C80D4B">
        <w:rPr>
          <w:rFonts w:eastAsia="Calibri"/>
          <w:b/>
          <w:noProof/>
          <w:lang w:val="sr-Cyrl-CS"/>
        </w:rPr>
        <w:t xml:space="preserve"> </w:t>
      </w:r>
      <w:r w:rsidR="002650E3">
        <w:rPr>
          <w:rFonts w:eastAsia="Calibri"/>
          <w:b/>
          <w:noProof/>
          <w:lang w:val="sr-Cyrl-CS"/>
        </w:rPr>
        <w:t>SUZBIJAN</w:t>
      </w:r>
      <w:r w:rsidR="002650E3">
        <w:rPr>
          <w:rFonts w:eastAsia="Calibri"/>
          <w:b/>
          <w:noProof/>
        </w:rPr>
        <w:t>J</w:t>
      </w:r>
      <w:r>
        <w:rPr>
          <w:rFonts w:eastAsia="Calibri"/>
          <w:b/>
          <w:noProof/>
          <w:lang w:val="sr-Cyrl-CS"/>
        </w:rPr>
        <w:t>U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KORUPCIJE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ORGANIZOVANOG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NAJTEŽIH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OBLIKA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PRIVREDNOG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KRIMINALA</w:t>
      </w: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</w:p>
    <w:p w:rsidR="004C6B86" w:rsidRPr="002650E3" w:rsidRDefault="004C6B86" w:rsidP="006C5764">
      <w:pPr>
        <w:rPr>
          <w:rFonts w:eastAsia="Calibri"/>
          <w:b/>
          <w:noProof/>
          <w:lang w:val="sr-Cyrl-CS"/>
        </w:rPr>
      </w:pPr>
    </w:p>
    <w:p w:rsidR="004C6B86" w:rsidRPr="002650E3" w:rsidRDefault="004C6B86" w:rsidP="006C5764">
      <w:pPr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rPr>
          <w:rFonts w:eastAsia="Calibri"/>
          <w:b/>
          <w:noProof/>
        </w:rPr>
      </w:pPr>
      <w:r>
        <w:rPr>
          <w:rFonts w:eastAsia="Calibri"/>
          <w:b/>
          <w:noProof/>
          <w:lang w:val="sr-Cyrl-CS"/>
        </w:rPr>
        <w:t>GLAVA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</w:rPr>
        <w:t>I</w:t>
      </w: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OSNOVNE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ODREDBE</w:t>
      </w: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b/>
          <w:noProof/>
          <w:lang w:val="sr-Cyrl-CS"/>
        </w:rPr>
      </w:pPr>
      <w:r>
        <w:rPr>
          <w:rFonts w:eastAsia="Calibri"/>
          <w:noProof/>
          <w:lang w:val="sr-Cyrl-CS"/>
        </w:rPr>
        <w:t>Ovim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osnivanje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organizacija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nadležnost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organizacionih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Srpskoj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ovlašćenja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uslovi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efikasnog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otkrivanja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gonjenja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suđenja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učiniocima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Ovaj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donosi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cilju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efikasnog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suzbijanja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koruptivnih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najtežih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privrednog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</w:t>
      </w:r>
    </w:p>
    <w:p w:rsidR="004C6B86" w:rsidRPr="004C6B86" w:rsidRDefault="004C6B86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GLAVA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</w:rPr>
        <w:t>II</w:t>
      </w:r>
    </w:p>
    <w:p w:rsidR="004C6B86" w:rsidRPr="00C80D4B" w:rsidRDefault="002650E3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OSNIVAN</w:t>
      </w:r>
      <w:r>
        <w:rPr>
          <w:rFonts w:eastAsia="Calibri"/>
          <w:b/>
          <w:noProof/>
        </w:rPr>
        <w:t>J</w:t>
      </w:r>
      <w:bookmarkStart w:id="0" w:name="_GoBack"/>
      <w:bookmarkEnd w:id="0"/>
      <w:r w:rsidR="004C6B86">
        <w:rPr>
          <w:rFonts w:eastAsia="Calibri"/>
          <w:b/>
          <w:noProof/>
          <w:lang w:val="sr-Cyrl-CS"/>
        </w:rPr>
        <w:t>E</w:t>
      </w:r>
      <w:r w:rsidR="004C6B86" w:rsidRPr="00C80D4B">
        <w:rPr>
          <w:rFonts w:eastAsia="Calibri"/>
          <w:b/>
          <w:noProof/>
          <w:lang w:val="sr-Cyrl-CS"/>
        </w:rPr>
        <w:t xml:space="preserve">, </w:t>
      </w:r>
      <w:r w:rsidR="004C6B86">
        <w:rPr>
          <w:rFonts w:eastAsia="Calibri"/>
          <w:b/>
          <w:noProof/>
          <w:lang w:val="sr-Cyrl-CS"/>
        </w:rPr>
        <w:t>ORGANIZACIJA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I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NADLEŽNOST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POSEBNIH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ORGANIZACIONIH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JEDINICA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TUŽILAŠTVA</w:t>
      </w:r>
      <w:r w:rsidR="004C6B86" w:rsidRPr="00C80D4B">
        <w:rPr>
          <w:rFonts w:eastAsia="Calibri"/>
          <w:b/>
          <w:noProof/>
          <w:lang w:val="sr-Cyrl-CS"/>
        </w:rPr>
        <w:t xml:space="preserve">, </w:t>
      </w:r>
      <w:r w:rsidR="004C6B86">
        <w:rPr>
          <w:rFonts w:eastAsia="Calibri"/>
          <w:b/>
          <w:noProof/>
          <w:lang w:val="sr-Cyrl-CS"/>
        </w:rPr>
        <w:t>SUDOVA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I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DRUGIH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ORGANA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U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REPUBLICI</w:t>
      </w:r>
      <w:r w:rsidR="004C6B86" w:rsidRPr="00C80D4B">
        <w:rPr>
          <w:rFonts w:eastAsia="Calibri"/>
          <w:b/>
          <w:noProof/>
          <w:lang w:val="sr-Cyrl-CS"/>
        </w:rPr>
        <w:t xml:space="preserve"> </w:t>
      </w:r>
      <w:r w:rsidR="004C6B86">
        <w:rPr>
          <w:rFonts w:eastAsia="Calibri"/>
          <w:b/>
          <w:noProof/>
          <w:lang w:val="sr-Cyrl-CS"/>
        </w:rPr>
        <w:t>SRPSKOJ</w:t>
      </w:r>
    </w:p>
    <w:p w:rsidR="004C6B86" w:rsidRPr="00C80D4B" w:rsidRDefault="004C6B86" w:rsidP="006C5764">
      <w:pPr>
        <w:jc w:val="both"/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jc w:val="both"/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  <w:r w:rsidRPr="00C80D4B">
        <w:rPr>
          <w:rFonts w:eastAsia="Calibri"/>
          <w:b/>
          <w:noProof/>
          <w:lang w:val="sr-Cyrl-CS"/>
        </w:rPr>
        <w:t xml:space="preserve">1. </w:t>
      </w:r>
      <w:r>
        <w:rPr>
          <w:rFonts w:eastAsia="Calibri"/>
          <w:b/>
          <w:noProof/>
          <w:lang w:val="sr-Cyrl-CS"/>
        </w:rPr>
        <w:t>Osnivanje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organizacija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nadležnost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odjeljenja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Republičkog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tužilaštva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za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suzbijanje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korupcije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organizovanog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najtežih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oblika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privrednog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kriminala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osniva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suzbijanje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korupcije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najtežih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privrednog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daljem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tekstu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) </w:t>
      </w:r>
      <w:r>
        <w:rPr>
          <w:rFonts w:eastAsia="Calibri"/>
          <w:noProof/>
          <w:lang w:val="sr-Cyrl-CS"/>
        </w:rPr>
        <w:t>koje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samostalno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radu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(2) </w:t>
      </w:r>
      <w:r>
        <w:rPr>
          <w:rFonts w:eastAsia="Calibri"/>
          <w:noProof/>
          <w:lang w:val="sr-Cyrl-CS"/>
        </w:rPr>
        <w:t>Ako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drugačije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određeno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primjenjuju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odredbe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4.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čine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zamjenik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 –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daljem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tekstu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)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raspoređeni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odgovaraju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glavnom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Posebnim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rukovodi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propisima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zamjenik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lastRenderedPageBreak/>
        <w:t xml:space="preserve">(4) </w:t>
      </w:r>
      <w:r>
        <w:rPr>
          <w:rFonts w:eastAsia="Calibri"/>
          <w:noProof/>
          <w:lang w:val="sr-Cyrl-CS"/>
        </w:rPr>
        <w:t>Nakon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isteka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mandata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slučaju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podnošenja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ostavke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funkciju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nastavlja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obavlja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(5) </w:t>
      </w:r>
      <w:r>
        <w:rPr>
          <w:rFonts w:eastAsia="Calibri"/>
          <w:noProof/>
          <w:lang w:val="sr-Cyrl-CS"/>
        </w:rPr>
        <w:t>Glavni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prijedlog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raspoređuje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broj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(6) </w:t>
      </w:r>
      <w:r>
        <w:rPr>
          <w:rFonts w:eastAsia="Calibri"/>
          <w:noProof/>
          <w:lang w:val="sr-Cyrl-CS"/>
        </w:rPr>
        <w:t>Glavni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prijedlog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skladu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potrebama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može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rasporediti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Opšte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5.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raspoređeni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čine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kolegijum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Bliži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kolegijuma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unutrašnjoj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poslovanju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6.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nadležno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cijeloj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teritoriji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sprovođenje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radnji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gonjenje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učinilaca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člana</w:t>
      </w:r>
      <w:r w:rsidRPr="00C80D4B">
        <w:rPr>
          <w:rFonts w:eastAsia="Calibri"/>
          <w:noProof/>
          <w:lang w:val="sr-Cyrl-CS"/>
        </w:rPr>
        <w:t xml:space="preserve"> 13.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  <w:r w:rsidRPr="00C80D4B">
        <w:rPr>
          <w:rFonts w:eastAsia="Calibri"/>
          <w:b/>
          <w:noProof/>
          <w:lang w:val="sr-Cyrl-CS"/>
        </w:rPr>
        <w:t xml:space="preserve">2. </w:t>
      </w:r>
      <w:r>
        <w:rPr>
          <w:rFonts w:eastAsia="Calibri"/>
          <w:b/>
          <w:noProof/>
          <w:lang w:val="sr-Cyrl-CS"/>
        </w:rPr>
        <w:t>Jedinica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za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istrage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bezbjednost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7.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ab/>
        <w:t xml:space="preserve">(1)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okviru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osniva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istrage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bezbjednost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daljem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tekstu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Jedinica</w:t>
      </w:r>
      <w:r w:rsidRPr="00C80D4B">
        <w:rPr>
          <w:rFonts w:eastAsia="Calibri"/>
          <w:noProof/>
          <w:lang w:val="sr-Cyrl-CS"/>
        </w:rPr>
        <w:t xml:space="preserve">), </w:t>
      </w:r>
      <w:r>
        <w:rPr>
          <w:rFonts w:eastAsia="Calibri"/>
          <w:noProof/>
          <w:lang w:val="sr-Cyrl-CS"/>
        </w:rPr>
        <w:t>koju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čine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načelnik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istražioci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ab/>
        <w:t xml:space="preserve">(2)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unutrašnjoj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poslovanju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8.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obavljaju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poslove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zadatke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nadležnosti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skladu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ovlašćenjima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propisanim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(2) </w:t>
      </w:r>
      <w:r>
        <w:rPr>
          <w:rFonts w:eastAsia="Calibri"/>
          <w:noProof/>
          <w:lang w:val="sr-Cyrl-CS"/>
        </w:rPr>
        <w:t>Osim</w:t>
      </w:r>
      <w:r w:rsidRPr="00C80D4B">
        <w:rPr>
          <w:rFonts w:eastAsia="Calibri"/>
          <w:noProof/>
          <w:lang w:val="sr-Cyrl-CS"/>
        </w:rPr>
        <w:t xml:space="preserve">  </w:t>
      </w:r>
      <w:r>
        <w:rPr>
          <w:rFonts w:eastAsia="Calibri"/>
          <w:noProof/>
          <w:lang w:val="sr-Cyrl-CS"/>
        </w:rPr>
        <w:t>ovlašćenja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stava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člana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naredbi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mogu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koristiti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propisana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policijske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(3) </w:t>
      </w:r>
      <w:r>
        <w:rPr>
          <w:rFonts w:eastAsia="Calibri"/>
          <w:noProof/>
          <w:lang w:val="sr-Cyrl-CS"/>
        </w:rPr>
        <w:t>Bliži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uslovi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primjene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sredstava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prinude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opreme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oznaka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pravilnikom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prijedlog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donosi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glavni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9.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preuzimaju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sporazumom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zaposlenih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Ministarstvu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unutrašnjih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poslova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zaposlenih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bezbjednosnim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agencijama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sprovođenje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Bosni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Hercegovini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lastRenderedPageBreak/>
        <w:t>kandidati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dokazano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specijalizovano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iskustvo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oblasti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borbe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protiv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koruptivnih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(2) </w:t>
      </w:r>
      <w:r>
        <w:rPr>
          <w:rFonts w:eastAsia="Calibri"/>
          <w:noProof/>
          <w:lang w:val="sr-Cyrl-CS"/>
        </w:rPr>
        <w:t>Bliži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uslovi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broj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unutrašnjoj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poslovanju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10.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načelnika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odgovara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prijedlog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načelnika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razrješava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odgovaraju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načelniku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odnosno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tužiocu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spacing w:after="200"/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slučaju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razješenja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nastavlja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obavlja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dužnost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obavljao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dužnost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11.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može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broj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stručnih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saradnika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administrativnog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osoblja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bliži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uslovi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unutrašnje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sistematizacije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mjesta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unutrašnjoj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poslovanju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  <w:r w:rsidRPr="00C80D4B">
        <w:rPr>
          <w:rFonts w:eastAsia="Calibri"/>
          <w:b/>
          <w:noProof/>
          <w:lang w:val="sr-Cyrl-CS"/>
        </w:rPr>
        <w:t xml:space="preserve">3. </w:t>
      </w:r>
      <w:r>
        <w:rPr>
          <w:rFonts w:eastAsia="Calibri"/>
          <w:b/>
          <w:noProof/>
          <w:lang w:val="sr-Cyrl-CS"/>
        </w:rPr>
        <w:t>Osnivanje</w:t>
      </w:r>
      <w:r w:rsidRPr="00C80D4B">
        <w:rPr>
          <w:rFonts w:eastAsia="Calibri"/>
          <w:b/>
          <w:noProof/>
          <w:lang w:val="sr-Cyrl-CS"/>
        </w:rPr>
        <w:t xml:space="preserve">, </w:t>
      </w:r>
      <w:r>
        <w:rPr>
          <w:rFonts w:eastAsia="Calibri"/>
          <w:b/>
          <w:noProof/>
          <w:lang w:val="sr-Cyrl-CS"/>
        </w:rPr>
        <w:t>organizacija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nadležnost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Posebnih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odjeljenja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nadležnih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sudova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12.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ab/>
        <w:t xml:space="preserve">(1)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osniva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suzbijanje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korupcije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najtežih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privrednog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daljem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tekstu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>).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Radom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rukovodi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suzbijanje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korupcije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najtežih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privrednog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daljem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tekstu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)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odgovoran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Predsjednika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raspoređuje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relevantno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iskustvo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oblasti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  <w:r w:rsidRPr="00C80D4B">
        <w:rPr>
          <w:rFonts w:eastAsia="Calibri"/>
          <w:noProof/>
          <w:lang w:val="sr-Cyrl-CS"/>
        </w:rPr>
        <w:t xml:space="preserve">(4)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Luka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prijedlog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donosi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bliže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funkcionisanje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</w:p>
    <w:p w:rsidR="004C6B86" w:rsidRPr="00F24D64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</w:p>
    <w:p w:rsidR="004C6B86" w:rsidRPr="00C80D4B" w:rsidRDefault="004C6B86" w:rsidP="006C5764">
      <w:pPr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13.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644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nadležno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cijeloj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teritoriji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propisana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to</w:t>
      </w:r>
      <w:r w:rsidRPr="00C80D4B">
        <w:rPr>
          <w:rFonts w:eastAsia="Calibri"/>
          <w:noProof/>
          <w:lang w:val="sr-Cyrl-CS"/>
        </w:rPr>
        <w:t>: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Teško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ubistvo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149.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tačka</w:t>
      </w:r>
      <w:r w:rsidRPr="00C80D4B">
        <w:rPr>
          <w:rFonts w:eastAsia="Calibri"/>
          <w:noProof/>
          <w:lang w:val="sr-Cyrl-CS"/>
        </w:rPr>
        <w:t xml:space="preserve"> 7]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2.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vezi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stavom</w:t>
      </w:r>
      <w:r w:rsidRPr="00C80D4B">
        <w:rPr>
          <w:rFonts w:eastAsia="Calibri"/>
          <w:noProof/>
          <w:lang w:val="sr-Cyrl-CS"/>
        </w:rPr>
        <w:t xml:space="preserve"> 1),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Otmica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165),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Trgovina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ljudima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198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>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Trgovina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maloljetnim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licima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198</w:t>
      </w:r>
      <w:r>
        <w:rPr>
          <w:rFonts w:eastAsia="Calibri"/>
          <w:noProof/>
          <w:lang w:val="sr-Cyrl-CS"/>
        </w:rPr>
        <w:t>b</w:t>
      </w:r>
      <w:r w:rsidRPr="00C80D4B">
        <w:rPr>
          <w:rFonts w:eastAsia="Calibri"/>
          <w:noProof/>
          <w:lang w:val="sr-Cyrl-CS"/>
        </w:rPr>
        <w:t>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Organizovanje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grupe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zločinačkog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udruženja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izvršenje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trgovine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ljudima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trgovine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maloljetnim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licima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198</w:t>
      </w:r>
      <w:r>
        <w:rPr>
          <w:rFonts w:eastAsia="Calibri"/>
          <w:noProof/>
          <w:lang w:val="sr-Cyrl-CS"/>
        </w:rPr>
        <w:t>v</w:t>
      </w:r>
      <w:r w:rsidRPr="00C80D4B">
        <w:rPr>
          <w:rFonts w:eastAsia="Calibri"/>
          <w:noProof/>
          <w:lang w:val="sr-Cyrl-CS"/>
        </w:rPr>
        <w:t>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lastRenderedPageBreak/>
        <w:t>Neovlašćeno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poklona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darova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267),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Neovlašćeno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poklona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darova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268)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Pranje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novca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280),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Utaja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poreza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doprinosa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287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3)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Napad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ustavno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uređenje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293),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Ugrožavanje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teritorijalne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cjeline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294),</w:t>
      </w:r>
    </w:p>
    <w:p w:rsidR="004C6B86" w:rsidRPr="00C80D4B" w:rsidRDefault="004C6B86" w:rsidP="006C5764">
      <w:pPr>
        <w:numPr>
          <w:ilvl w:val="0"/>
          <w:numId w:val="2"/>
        </w:numPr>
        <w:ind w:left="64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Izazivanje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nacionalne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rasne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vjerske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mržnje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netrpeljivosti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294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.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3.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vezi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</w:t>
      </w:r>
      <w:r w:rsidRPr="00C80D4B">
        <w:rPr>
          <w:rFonts w:eastAsia="Calibri"/>
          <w:noProof/>
          <w:lang w:val="sr-Cyrl-CS"/>
        </w:rPr>
        <w:t xml:space="preserve">. 1.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2),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Dovođenje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položaj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potčinjenosti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zavisnosti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295),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Ubistvo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predstavnika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najviših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296),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Otmica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najviših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predstavnika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297),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Oružana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pobuna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298),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Terorizam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299),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Uzimanje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talaca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300),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Finansiranje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terorističkih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aktivnosti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301),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Diverzija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302),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Sabotaža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303),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Špijunaža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304),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Odavanje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tajne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305),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Upućivanje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prebacivanje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teritoriju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oružanih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grupa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oružja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municije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306),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Pozivanje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nasilnu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promjenu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ustavnog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307),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Pomoć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učiniocu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poslije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izvršenog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protiv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ustavnog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308),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Stvaranje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zločinačkog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udruženja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vršenje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protiv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ustavnog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309),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Pripremanje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protiv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ustavnog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310),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Zloupotreba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položaja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ovlašćenja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347),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slučaju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učinilac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odgovorno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izabrano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Narodne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skupštine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Vlade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njenih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ministarstava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Visokog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sudskog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savjeta</w:t>
      </w:r>
      <w:r w:rsidRPr="00C80D4B">
        <w:rPr>
          <w:rFonts w:eastAsia="Calibri"/>
          <w:noProof/>
          <w:lang w:val="sr-Cyrl-CS"/>
        </w:rPr>
        <w:t>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Primanje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mita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351),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Davanje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mita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352),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Trgovina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uticajem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353),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Zločinačko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udruženje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383),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Organizovani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383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>),</w:t>
      </w:r>
    </w:p>
    <w:p w:rsidR="004C6B86" w:rsidRPr="00C80D4B" w:rsidRDefault="004C6B86" w:rsidP="006C5764">
      <w:pPr>
        <w:numPr>
          <w:ilvl w:val="0"/>
          <w:numId w:val="2"/>
        </w:numPr>
        <w:ind w:left="646" w:hanging="436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Napad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vršenju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službene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dužnosti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388.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3.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vezi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</w:t>
      </w:r>
      <w:r w:rsidRPr="00C80D4B">
        <w:rPr>
          <w:rFonts w:eastAsia="Calibri"/>
          <w:noProof/>
          <w:lang w:val="sr-Cyrl-CS"/>
        </w:rPr>
        <w:t xml:space="preserve">. 1.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2).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nadležno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cijeloj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teritoriji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glave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dvadeset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osme</w:t>
      </w:r>
      <w:r w:rsidRPr="00C80D4B">
        <w:rPr>
          <w:rFonts w:eastAsia="Calibri"/>
          <w:noProof/>
          <w:lang w:val="sr-Cyrl-CS"/>
        </w:rPr>
        <w:t xml:space="preserve"> – </w:t>
      </w:r>
      <w:r>
        <w:rPr>
          <w:rFonts w:eastAsia="Calibri"/>
          <w:noProof/>
          <w:lang w:val="sr-Cyrl-CS"/>
        </w:rPr>
        <w:t>Krivična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protiv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pravosuđa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ako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učinjena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vezi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stava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člana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Ako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toku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pretresa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ustanovi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riječ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stava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člana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neće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dostaviti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predmet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nadležnom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sudu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nego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sprovesti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postupak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donijeti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odluku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14.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lastRenderedPageBreak/>
        <w:t xml:space="preserve">(1)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žalbama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odluke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odlučuje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suzbijanje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korupcije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najtežih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privrednog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daljem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tekstu</w:t>
      </w:r>
      <w:r w:rsidRPr="00C80D4B">
        <w:rPr>
          <w:rFonts w:eastAsia="Calibri"/>
          <w:noProof/>
          <w:lang w:val="sr-Cyrl-CS"/>
        </w:rPr>
        <w:t xml:space="preserve">: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vijeće</w:t>
      </w:r>
      <w:r w:rsidRPr="00C80D4B">
        <w:rPr>
          <w:rFonts w:eastAsia="Calibri"/>
          <w:noProof/>
          <w:lang w:val="sr-Cyrl-CS"/>
        </w:rPr>
        <w:t>).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Radom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rukovodi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odgovora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Predsjednika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raspoređuje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relevantno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iskustvo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oblasti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(4)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prijedlog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donosi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bliže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funkcionisanje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15.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  <w:r>
        <w:rPr>
          <w:rFonts w:eastAsia="Calibri"/>
          <w:noProof/>
          <w:lang w:val="sr-Cyrl-CS"/>
        </w:rPr>
        <w:t>Ukoliko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drugačije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određeno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primjenjuju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odredbe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sudovima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</w:p>
    <w:p w:rsidR="004C6B86" w:rsidRPr="00F24D64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</w:p>
    <w:p w:rsidR="004C6B86" w:rsidRPr="004C6B86" w:rsidRDefault="004C6B86" w:rsidP="006C5764">
      <w:pPr>
        <w:rPr>
          <w:rFonts w:eastAsia="Calibri"/>
          <w:b/>
          <w:noProof/>
          <w:lang w:val="sv-SE"/>
        </w:rPr>
      </w:pPr>
      <w:r>
        <w:rPr>
          <w:rFonts w:eastAsia="Calibri"/>
          <w:b/>
          <w:noProof/>
          <w:lang w:val="sr-Cyrl-CS"/>
        </w:rPr>
        <w:t>GLAVA</w:t>
      </w:r>
      <w:r w:rsidRPr="00C80D4B">
        <w:rPr>
          <w:rFonts w:eastAsia="Calibri"/>
          <w:b/>
          <w:noProof/>
          <w:lang w:val="sr-Cyrl-CS"/>
        </w:rPr>
        <w:t xml:space="preserve"> </w:t>
      </w:r>
      <w:r w:rsidRPr="004C6B86">
        <w:rPr>
          <w:rFonts w:eastAsia="Calibri"/>
          <w:b/>
          <w:noProof/>
          <w:lang w:val="sv-SE"/>
        </w:rPr>
        <w:t>III</w:t>
      </w: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SREDSTVA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ZA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RAD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ODJELjENjA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TUŽILAŠTVA</w:t>
      </w:r>
      <w:r w:rsidRPr="00C80D4B">
        <w:rPr>
          <w:rFonts w:eastAsia="Calibri"/>
          <w:b/>
          <w:noProof/>
          <w:lang w:val="sr-Cyrl-CS"/>
        </w:rPr>
        <w:t xml:space="preserve">, </w:t>
      </w: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ODJELjENjA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SUDA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VIJEĆA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numPr>
          <w:ilvl w:val="0"/>
          <w:numId w:val="3"/>
        </w:numPr>
        <w:spacing w:after="200" w:line="276" w:lineRule="auto"/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Sredstva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za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rad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odjeljenja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tužilaštva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16.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budžet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predlaže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izvršava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zahtjevu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odobrenju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sastavni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dio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budžeta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Pr="00F24D64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17.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posjeduje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blagajnu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operativne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poslove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čije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korišćenje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uređuje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posebnim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pravilnikom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donosi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glavni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tužilac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prijedlog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tužioca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b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Pravilnik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iz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stava</w:t>
      </w:r>
      <w:r w:rsidRPr="00C80D4B">
        <w:rPr>
          <w:rFonts w:eastAsia="Times New Roman"/>
          <w:noProof/>
          <w:lang w:val="sr-Cyrl-CS"/>
        </w:rPr>
        <w:t xml:space="preserve"> 1.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člana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predstavlja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službenu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tajnu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18.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kao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zaposleni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osnovu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pripadaju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odnosno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obavljaju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primjenjuje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naknade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Srpskoj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lastRenderedPageBreak/>
        <w:t xml:space="preserve">(3) </w:t>
      </w:r>
      <w:r>
        <w:rPr>
          <w:rFonts w:eastAsia="Calibri"/>
          <w:noProof/>
          <w:lang w:val="sr-Cyrl-CS"/>
        </w:rPr>
        <w:t>Specijalni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dodatak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osnovu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rukovođenja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iznosu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10%.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19.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 (1)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ostala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osnovu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ostalih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zaposlenih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primjenjuju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odredbe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propisuju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zaposlenih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institucijama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pravosuđa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b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Načelnik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istrage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bezbjednost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istražioci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dodatak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osnovu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složenosti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rizika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iznosu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20%. </w:t>
      </w: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</w:p>
    <w:p w:rsidR="004C6B86" w:rsidRPr="00C80D4B" w:rsidRDefault="004C6B86" w:rsidP="006C5764">
      <w:pPr>
        <w:numPr>
          <w:ilvl w:val="0"/>
          <w:numId w:val="3"/>
        </w:numPr>
        <w:spacing w:after="200" w:line="276" w:lineRule="auto"/>
        <w:jc w:val="center"/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Sredstva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za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rad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odjeljenja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suda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Posebnog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vijeća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20.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okviru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budžeta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obezbjeđuju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finansijska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sredstva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funkcionisanje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sačinjava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izvršava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Luci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okviru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budžeta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obezbjeđuju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finansijska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sredstva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funkcionisanje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sačinjava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izvršava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21.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primjenjuje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druge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naknade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Srpskoj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dodatak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platu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osnovu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rukovođenja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iznosu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10%.</w:t>
      </w:r>
    </w:p>
    <w:p w:rsidR="004C6B86" w:rsidRDefault="004C6B86" w:rsidP="006C5764">
      <w:pPr>
        <w:jc w:val="center"/>
        <w:rPr>
          <w:rFonts w:eastAsia="Calibri"/>
          <w:b/>
          <w:noProof/>
          <w:lang w:val="sr-Latn-BA"/>
        </w:rPr>
      </w:pPr>
    </w:p>
    <w:p w:rsidR="004C6B86" w:rsidRDefault="004C6B86" w:rsidP="006C5764">
      <w:pPr>
        <w:jc w:val="center"/>
        <w:rPr>
          <w:rFonts w:eastAsia="Calibri"/>
          <w:b/>
          <w:noProof/>
          <w:lang w:val="sr-Latn-BA"/>
        </w:rPr>
      </w:pPr>
    </w:p>
    <w:p w:rsidR="004C6B86" w:rsidRPr="00F24D64" w:rsidRDefault="004C6B86" w:rsidP="006C5764">
      <w:pPr>
        <w:jc w:val="center"/>
        <w:rPr>
          <w:rFonts w:eastAsia="Calibri"/>
          <w:b/>
          <w:noProof/>
          <w:lang w:val="sr-Latn-BA"/>
        </w:rPr>
      </w:pPr>
    </w:p>
    <w:p w:rsidR="004C6B86" w:rsidRPr="004C6B86" w:rsidRDefault="004C6B86" w:rsidP="006C5764">
      <w:pPr>
        <w:rPr>
          <w:rFonts w:eastAsia="Calibri"/>
          <w:b/>
          <w:noProof/>
          <w:lang w:val="sr-Latn-BA"/>
        </w:rPr>
      </w:pPr>
      <w:r>
        <w:rPr>
          <w:rFonts w:eastAsia="Calibri"/>
          <w:b/>
          <w:noProof/>
          <w:lang w:val="sr-Cyrl-CS"/>
        </w:rPr>
        <w:t>GLAVA</w:t>
      </w:r>
      <w:r w:rsidRPr="00C80D4B">
        <w:rPr>
          <w:rFonts w:eastAsia="Calibri"/>
          <w:b/>
          <w:noProof/>
          <w:lang w:val="sr-Cyrl-CS"/>
        </w:rPr>
        <w:t xml:space="preserve"> </w:t>
      </w:r>
      <w:r w:rsidRPr="004C6B86">
        <w:rPr>
          <w:rFonts w:eastAsia="Calibri"/>
          <w:b/>
          <w:noProof/>
          <w:lang w:val="sr-Latn-BA"/>
        </w:rPr>
        <w:t>IV</w:t>
      </w: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SLUŽBENA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SARADNjA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22.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dužna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bez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odgađanja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omoguće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nesmetan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uvid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predmet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zatraži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tužilaštva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23.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nadležni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organi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Srpskoj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dužni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republičkim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tužiocima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ili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licima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njihovom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ovlašćenju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njihov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zahtjev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omoguće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nesmetan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uvid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službenu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dokumentaciju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svu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neophodnu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pomoć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podršku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uključujući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obezbjeđivanje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prostora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opreme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kao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tehničkih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sredstava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raspolažu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lastRenderedPageBreak/>
        <w:t xml:space="preserve">(2) </w:t>
      </w:r>
      <w:r>
        <w:rPr>
          <w:rFonts w:eastAsia="Times New Roman"/>
          <w:noProof/>
          <w:lang w:val="sr-Cyrl-CS"/>
        </w:rPr>
        <w:t>Nadležni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organi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dužni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bez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odgađanja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izvršavaju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zahtjeve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naredbe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skladu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krivičnom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postupku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24.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  <w:r>
        <w:rPr>
          <w:rFonts w:eastAsia="Calibri"/>
          <w:noProof/>
          <w:lang w:val="sr-Cyrl-CS"/>
        </w:rPr>
        <w:t>Nadležni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zahtjev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moraju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bez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odgađanja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preduzeti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mjere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svoje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nadležnosti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obezbjeđivanja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fizičkog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integriteta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republičkih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raspoređenih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sudija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njihovih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porodica</w:t>
      </w:r>
      <w:r w:rsidRPr="00C80D4B">
        <w:rPr>
          <w:rFonts w:eastAsia="Calibri"/>
          <w:noProof/>
          <w:lang w:val="sr-Cyrl-CS"/>
        </w:rPr>
        <w:t>.</w:t>
      </w:r>
      <w:r w:rsidRPr="00C80D4B">
        <w:rPr>
          <w:rFonts w:eastAsia="Calibri"/>
          <w:noProof/>
          <w:lang w:val="sr-Cyrl-CS"/>
        </w:rPr>
        <w:tab/>
      </w:r>
    </w:p>
    <w:p w:rsidR="004C6B86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</w:p>
    <w:p w:rsidR="004C6B86" w:rsidRPr="00F24D64" w:rsidRDefault="004C6B86" w:rsidP="006C5764">
      <w:pPr>
        <w:ind w:firstLine="708"/>
        <w:jc w:val="both"/>
        <w:rPr>
          <w:rFonts w:eastAsia="Calibri"/>
          <w:noProof/>
          <w:lang w:val="sr-Latn-BA"/>
        </w:rPr>
      </w:pPr>
    </w:p>
    <w:p w:rsidR="004C6B86" w:rsidRPr="00C80D4B" w:rsidRDefault="004C6B86" w:rsidP="006C5764">
      <w:pPr>
        <w:jc w:val="center"/>
        <w:rPr>
          <w:rFonts w:eastAsia="Calibri"/>
          <w:b/>
          <w:noProof/>
          <w:lang w:val="sr-Cyrl-CS"/>
        </w:rPr>
      </w:pPr>
    </w:p>
    <w:p w:rsidR="004C6B86" w:rsidRPr="004C6B86" w:rsidRDefault="004C6B86" w:rsidP="006C5764">
      <w:pPr>
        <w:rPr>
          <w:rFonts w:eastAsia="Calibri"/>
          <w:noProof/>
          <w:lang w:val="sr-Cyrl-CS"/>
        </w:rPr>
      </w:pPr>
      <w:r>
        <w:rPr>
          <w:rFonts w:eastAsia="Calibri"/>
          <w:b/>
          <w:noProof/>
          <w:lang w:val="sr-Cyrl-CS"/>
        </w:rPr>
        <w:t>GLAVA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b/>
          <w:noProof/>
        </w:rPr>
        <w:t>V</w:t>
      </w:r>
    </w:p>
    <w:p w:rsidR="004C6B86" w:rsidRPr="00C80D4B" w:rsidRDefault="004C6B86" w:rsidP="006C5764">
      <w:pPr>
        <w:rPr>
          <w:rFonts w:eastAsia="Calibri"/>
          <w:b/>
          <w:noProof/>
          <w:lang w:val="sr-Cyrl-CS"/>
        </w:rPr>
      </w:pPr>
      <w:r>
        <w:rPr>
          <w:rFonts w:eastAsia="Calibri"/>
          <w:b/>
          <w:noProof/>
          <w:lang w:val="sr-Cyrl-CS"/>
        </w:rPr>
        <w:t>PRELAZNE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I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ZAVRŠNE</w:t>
      </w:r>
      <w:r w:rsidRPr="00C80D4B">
        <w:rPr>
          <w:rFonts w:eastAsia="Calibri"/>
          <w:b/>
          <w:noProof/>
          <w:lang w:val="sr-Cyrl-CS"/>
        </w:rPr>
        <w:t xml:space="preserve"> </w:t>
      </w:r>
      <w:r>
        <w:rPr>
          <w:rFonts w:eastAsia="Calibri"/>
          <w:b/>
          <w:noProof/>
          <w:lang w:val="sr-Cyrl-CS"/>
        </w:rPr>
        <w:t>ODREDBE</w:t>
      </w:r>
    </w:p>
    <w:p w:rsidR="004C6B86" w:rsidRPr="00C80D4B" w:rsidRDefault="004C6B86" w:rsidP="006C5764">
      <w:pPr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25.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Visoki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sudski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savjet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sprovešće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proceduru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izbora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broja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republičkih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tužilaca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tužioca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Sprovođenje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procedura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stava</w:t>
      </w:r>
      <w:r w:rsidRPr="00C80D4B">
        <w:rPr>
          <w:rFonts w:eastAsia="Calibri"/>
          <w:noProof/>
          <w:lang w:val="sr-Cyrl-CS"/>
        </w:rPr>
        <w:t xml:space="preserve"> 1.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člana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otpočeće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danom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objavljivanja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„</w:t>
      </w:r>
      <w:r>
        <w:rPr>
          <w:rFonts w:eastAsia="Calibri"/>
          <w:noProof/>
          <w:lang w:val="sr-Cyrl-CS"/>
        </w:rPr>
        <w:t>Službenom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glasniku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“, </w:t>
      </w:r>
      <w:r>
        <w:rPr>
          <w:rFonts w:eastAsia="Calibri"/>
          <w:noProof/>
          <w:lang w:val="sr-Cyrl-CS"/>
        </w:rPr>
        <w:t>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imenovani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tužioci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stupiće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dužnost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stupanjem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snagu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Prilikom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izbora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kandidata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Visoki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sudski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tužilački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savjet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će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ako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ostali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uslovi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jednaki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dati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prednost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onim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kandidatima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imaju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dokazano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specijalizovano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znanje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oblasti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koruptivnih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organizovanog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kriminala</w:t>
      </w:r>
      <w:r w:rsidRPr="00C80D4B">
        <w:rPr>
          <w:rFonts w:eastAsia="Calibri"/>
          <w:noProof/>
          <w:lang w:val="sr-Cyrl-CS"/>
        </w:rPr>
        <w:t>.</w:t>
      </w:r>
    </w:p>
    <w:p w:rsidR="004C6B86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Pr="00F24D64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26.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Predsjednik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Banjoj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stupanjem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rasporediće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sudije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te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izvršiti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druge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potrebne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radnje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Predsjednik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Vrhovnog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stupanjem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rasporediće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sudije</w:t>
      </w:r>
      <w:r w:rsidRPr="00C80D4B">
        <w:rPr>
          <w:rFonts w:eastAsia="Times New Roman"/>
          <w:noProof/>
          <w:lang w:val="sr-Cyrl-CS"/>
        </w:rPr>
        <w:t xml:space="preserve"> 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vijeće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Vrhovnog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27.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Krivični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postupci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krivična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djela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iz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člana</w:t>
      </w:r>
      <w:r w:rsidRPr="00C80D4B">
        <w:rPr>
          <w:rFonts w:eastAsia="Times New Roman"/>
          <w:noProof/>
          <w:lang w:val="sr-Cyrl-CS"/>
        </w:rPr>
        <w:t xml:space="preserve"> 13.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potvrđena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optužnica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stupanja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okončaće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sudovima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bili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stvarno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mjesno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nadležni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stupanja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Krivične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postupcke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potvrđena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optužnica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organizovani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najteže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privrednog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kriminala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Banjoj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Luci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do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stupanja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dovršiće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lastRenderedPageBreak/>
        <w:t xml:space="preserve">(3) </w:t>
      </w:r>
      <w:r>
        <w:rPr>
          <w:rFonts w:eastAsia="Times New Roman"/>
          <w:noProof/>
          <w:lang w:val="sr-Cyrl-CS"/>
        </w:rPr>
        <w:t>Stupanjem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prestaje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suzbijanje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organizovanog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najtežih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oblika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privrednog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kriminala</w:t>
      </w:r>
      <w:r w:rsidRPr="00C80D4B">
        <w:rPr>
          <w:rFonts w:eastAsia="Times New Roman"/>
          <w:noProof/>
          <w:lang w:val="sr-Cyrl-CS"/>
        </w:rPr>
        <w:t xml:space="preserve"> – </w:t>
      </w:r>
      <w:r>
        <w:rPr>
          <w:rFonts w:eastAsia="Times New Roman"/>
          <w:noProof/>
          <w:lang w:val="sr-Cyrl-CS"/>
        </w:rPr>
        <w:t>Specijalno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daljem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tekstu</w:t>
      </w:r>
      <w:r w:rsidRPr="00C80D4B">
        <w:rPr>
          <w:rFonts w:eastAsia="Times New Roman"/>
          <w:noProof/>
          <w:lang w:val="sr-Cyrl-CS"/>
        </w:rPr>
        <w:t xml:space="preserve">: </w:t>
      </w:r>
      <w:r>
        <w:rPr>
          <w:rFonts w:eastAsia="Times New Roman"/>
          <w:noProof/>
          <w:lang w:val="sr-Cyrl-CS"/>
        </w:rPr>
        <w:t>Specijalno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) </w:t>
      </w:r>
      <w:r>
        <w:rPr>
          <w:rFonts w:eastAsia="Times New Roman"/>
          <w:noProof/>
          <w:lang w:val="sr-Cyrl-CS"/>
        </w:rPr>
        <w:t>osnovano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Luka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(4) </w:t>
      </w:r>
      <w:r>
        <w:rPr>
          <w:rFonts w:eastAsia="Times New Roman"/>
          <w:noProof/>
          <w:lang w:val="sr-Cyrl-CS"/>
        </w:rPr>
        <w:t>Stupanjem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glavni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tužilac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predmete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dostaviti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nadležnim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tužilaštvima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postupanje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predmete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krivična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djela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iz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člana</w:t>
      </w:r>
      <w:r w:rsidRPr="00C80D4B">
        <w:rPr>
          <w:rFonts w:eastAsia="Times New Roman"/>
          <w:noProof/>
          <w:lang w:val="sr-Cyrl-CS"/>
        </w:rPr>
        <w:t xml:space="preserve"> 13.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dostaviti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(5) </w:t>
      </w:r>
      <w:r>
        <w:rPr>
          <w:rFonts w:eastAsia="Times New Roman"/>
          <w:noProof/>
          <w:lang w:val="sr-Cyrl-CS"/>
        </w:rPr>
        <w:t>Do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donošenja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odluke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glavnog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tužioca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iz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stava</w:t>
      </w:r>
      <w:r w:rsidRPr="00C80D4B">
        <w:rPr>
          <w:rFonts w:eastAsia="Times New Roman"/>
          <w:noProof/>
          <w:lang w:val="sr-Cyrl-CS"/>
        </w:rPr>
        <w:t xml:space="preserve"> 4.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člana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dužno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preduzme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sve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postupku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postoji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opasnost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odgađanja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28.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Glavni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tužilac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prijedlogu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budžeta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predvidjeti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sredstva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osnivanje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 (2) </w:t>
      </w:r>
      <w:r>
        <w:rPr>
          <w:rFonts w:eastAsia="Times New Roman"/>
          <w:noProof/>
          <w:lang w:val="sr-Cyrl-CS"/>
        </w:rPr>
        <w:t>Stupanjem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Republičko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 –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preuzeti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materijalno</w:t>
      </w:r>
      <w:r w:rsidRPr="00C80D4B">
        <w:rPr>
          <w:rFonts w:eastAsia="Times New Roman"/>
          <w:noProof/>
          <w:lang w:val="sr-Cyrl-CS"/>
        </w:rPr>
        <w:t>-</w:t>
      </w:r>
      <w:r>
        <w:rPr>
          <w:rFonts w:eastAsia="Times New Roman"/>
          <w:noProof/>
          <w:lang w:val="sr-Cyrl-CS"/>
        </w:rPr>
        <w:t>tehnička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sredstva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(3) </w:t>
      </w:r>
      <w:r>
        <w:rPr>
          <w:rFonts w:eastAsia="Times New Roman"/>
          <w:noProof/>
          <w:lang w:val="sr-Cyrl-CS"/>
        </w:rPr>
        <w:t>Predsjednik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Banjoj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prijedlogu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budžeta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Banjoj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predvidjeti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sredstva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osnivanje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(4) </w:t>
      </w:r>
      <w:r>
        <w:rPr>
          <w:rFonts w:eastAsia="Times New Roman"/>
          <w:noProof/>
          <w:lang w:val="sr-Cyrl-CS"/>
        </w:rPr>
        <w:t>Predsjednik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Vrhovnog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prijedlogu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budžeta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Vrhovnog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predvidjeti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srestva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vijeća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29.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(1) </w:t>
      </w:r>
      <w:r>
        <w:rPr>
          <w:rFonts w:eastAsia="Times New Roman"/>
          <w:noProof/>
          <w:lang w:val="sr-Cyrl-CS"/>
        </w:rPr>
        <w:t>Tužioci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Visokog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sudskog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tužilačkog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savjeta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imenovani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ostaju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Luka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kao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tužioci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b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(2) </w:t>
      </w:r>
      <w:r>
        <w:rPr>
          <w:rFonts w:eastAsia="Times New Roman"/>
          <w:noProof/>
          <w:lang w:val="sr-Cyrl-CS"/>
        </w:rPr>
        <w:t>Tužilački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istražioci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raspoređeni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Jedinicu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istrage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bezbjednost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tužioca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biće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razriješeni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dužnosti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vraćeni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dužnost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obavljali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imenovanja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dužnost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tužilačkog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istražioca</w:t>
      </w:r>
      <w:r w:rsidRPr="00C80D4B">
        <w:rPr>
          <w:rFonts w:eastAsia="Times New Roman"/>
          <w:noProof/>
          <w:lang w:val="sr-Cyrl-CS"/>
        </w:rPr>
        <w:t>.</w:t>
      </w:r>
      <w:r w:rsidRPr="00C80D4B">
        <w:rPr>
          <w:rFonts w:eastAsia="Times New Roman"/>
          <w:b/>
          <w:noProof/>
          <w:lang w:val="sr-Cyrl-CS"/>
        </w:rPr>
        <w:t xml:space="preserve">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(3) </w:t>
      </w:r>
      <w:r>
        <w:rPr>
          <w:rFonts w:eastAsia="Times New Roman"/>
          <w:noProof/>
          <w:lang w:val="sr-Cyrl-CS"/>
        </w:rPr>
        <w:t>Stručni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saradnici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preuzeti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ostaju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rade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Luka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(4) </w:t>
      </w:r>
      <w:r>
        <w:rPr>
          <w:rFonts w:eastAsia="Times New Roman"/>
          <w:noProof/>
          <w:lang w:val="sr-Cyrl-CS"/>
        </w:rPr>
        <w:t>Ostali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zaposleni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budu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preuzeti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biće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raspoređeni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Okružno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Banja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Luka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skladu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potrebama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njihovom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stručnom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spremom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 w:rsidRPr="00C80D4B">
        <w:rPr>
          <w:rFonts w:eastAsia="Times New Roman"/>
          <w:noProof/>
          <w:lang w:val="sr-Cyrl-CS"/>
        </w:rPr>
        <w:t xml:space="preserve">(5) </w:t>
      </w:r>
      <w:r>
        <w:rPr>
          <w:rFonts w:eastAsia="Times New Roman"/>
          <w:noProof/>
          <w:lang w:val="sr-Cyrl-CS"/>
        </w:rPr>
        <w:t>Odluku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preuzimanju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raspoređivanju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stručnih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saradnika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ostalih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zaposlenih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odjeljenje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donosi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tužilac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prijedlog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specijalnog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tužioca</w:t>
      </w:r>
      <w:r w:rsidRPr="00C80D4B">
        <w:rPr>
          <w:rFonts w:eastAsia="Times New Roman"/>
          <w:noProof/>
          <w:lang w:val="sr-Cyrl-CS"/>
        </w:rPr>
        <w:t xml:space="preserve">. 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30.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Izvršenje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mjere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određenog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djela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člana</w:t>
      </w:r>
      <w:r w:rsidRPr="00C80D4B">
        <w:rPr>
          <w:rFonts w:eastAsia="Calibri"/>
          <w:noProof/>
          <w:lang w:val="sr-Cyrl-CS"/>
        </w:rPr>
        <w:t xml:space="preserve"> 13.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vrši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pritvorskoj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Kazneno</w:t>
      </w:r>
      <w:r w:rsidRPr="00C80D4B">
        <w:rPr>
          <w:rFonts w:eastAsia="Calibri"/>
          <w:noProof/>
          <w:lang w:val="sr-Cyrl-CS"/>
        </w:rPr>
        <w:t>-</w:t>
      </w:r>
      <w:r>
        <w:rPr>
          <w:rFonts w:eastAsia="Calibri"/>
          <w:noProof/>
          <w:lang w:val="sr-Cyrl-CS"/>
        </w:rPr>
        <w:t>popravnom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zavodu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Luci</w:t>
      </w:r>
      <w:r w:rsidRPr="00C80D4B">
        <w:rPr>
          <w:rFonts w:eastAsia="Calibri"/>
          <w:noProof/>
          <w:lang w:val="sr-Cyrl-CS"/>
        </w:rPr>
        <w:t>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Ministar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pravde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bliže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uređuje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organizaciju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postupanje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pritvorenicima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pritvorskoj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jedinici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skladu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Zakonom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izvršenju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krivičnih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sankcija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(3) </w:t>
      </w:r>
      <w:r>
        <w:rPr>
          <w:rFonts w:eastAsia="Calibri"/>
          <w:noProof/>
          <w:lang w:val="sr-Cyrl-CS"/>
        </w:rPr>
        <w:t>Sredstva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obezbjeđuju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okviru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budžeta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Kazneno</w:t>
      </w:r>
      <w:r w:rsidRPr="00C80D4B">
        <w:rPr>
          <w:rFonts w:eastAsia="Calibri"/>
          <w:noProof/>
          <w:lang w:val="sr-Cyrl-CS"/>
        </w:rPr>
        <w:t>-</w:t>
      </w:r>
      <w:r>
        <w:rPr>
          <w:rFonts w:eastAsia="Calibri"/>
          <w:noProof/>
          <w:lang w:val="sr-Cyrl-CS"/>
        </w:rPr>
        <w:t>popravnog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zavoda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Luka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31.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Glavni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republički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tužilac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roku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</w:t>
      </w:r>
      <w:r w:rsidRPr="00C80D4B">
        <w:rPr>
          <w:rFonts w:eastAsia="Times New Roman"/>
          <w:noProof/>
          <w:lang w:val="sr-Cyrl-CS"/>
        </w:rPr>
        <w:t xml:space="preserve"> 90 </w:t>
      </w:r>
      <w:r>
        <w:rPr>
          <w:rFonts w:eastAsia="Times New Roman"/>
          <w:noProof/>
          <w:lang w:val="sr-Cyrl-CS"/>
        </w:rPr>
        <w:t>dana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od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stupanja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donijeti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sljedeće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pravilnike</w:t>
      </w:r>
      <w:r w:rsidRPr="00C80D4B">
        <w:rPr>
          <w:rFonts w:eastAsia="Times New Roman"/>
          <w:noProof/>
          <w:lang w:val="sr-Cyrl-CS"/>
        </w:rPr>
        <w:t xml:space="preserve">: </w:t>
      </w:r>
    </w:p>
    <w:p w:rsidR="004C6B86" w:rsidRPr="00C80D4B" w:rsidRDefault="004C6B86" w:rsidP="006C5764">
      <w:pPr>
        <w:numPr>
          <w:ilvl w:val="0"/>
          <w:numId w:val="1"/>
        </w:numPr>
        <w:ind w:left="714" w:hanging="357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Pravilnik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unutrašnjoj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organizaciji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poslovanju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tužilaštava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5. </w:t>
      </w:r>
      <w:r>
        <w:rPr>
          <w:rFonts w:eastAsia="Times New Roman"/>
          <w:noProof/>
          <w:lang w:val="sr-Cyrl-CS"/>
        </w:rPr>
        <w:t>stav</w:t>
      </w:r>
      <w:r w:rsidRPr="00C80D4B">
        <w:rPr>
          <w:rFonts w:eastAsia="Times New Roman"/>
          <w:noProof/>
          <w:lang w:val="sr-Cyrl-CS"/>
        </w:rPr>
        <w:t xml:space="preserve"> 2, </w:t>
      </w: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7. </w:t>
      </w:r>
      <w:r>
        <w:rPr>
          <w:rFonts w:eastAsia="Times New Roman"/>
          <w:noProof/>
          <w:lang w:val="sr-Cyrl-CS"/>
        </w:rPr>
        <w:t>stav</w:t>
      </w:r>
      <w:r w:rsidRPr="00C80D4B">
        <w:rPr>
          <w:rFonts w:eastAsia="Times New Roman"/>
          <w:noProof/>
          <w:lang w:val="sr-Cyrl-CS"/>
        </w:rPr>
        <w:t xml:space="preserve"> 2, </w:t>
      </w: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9. </w:t>
      </w:r>
      <w:r>
        <w:rPr>
          <w:rFonts w:eastAsia="Times New Roman"/>
          <w:noProof/>
          <w:lang w:val="sr-Cyrl-CS"/>
        </w:rPr>
        <w:t>stav</w:t>
      </w:r>
      <w:r w:rsidRPr="00C80D4B">
        <w:rPr>
          <w:rFonts w:eastAsia="Times New Roman"/>
          <w:noProof/>
          <w:lang w:val="sr-Cyrl-CS"/>
        </w:rPr>
        <w:t xml:space="preserve"> 2.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11),</w:t>
      </w:r>
    </w:p>
    <w:p w:rsidR="004C6B86" w:rsidRPr="00C80D4B" w:rsidRDefault="004C6B86" w:rsidP="006C5764">
      <w:pPr>
        <w:numPr>
          <w:ilvl w:val="0"/>
          <w:numId w:val="1"/>
        </w:numPr>
        <w:ind w:left="714" w:hanging="357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Pravilnik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primjeni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ovlašćenja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upotrebi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sredstava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prinude</w:t>
      </w:r>
      <w:r w:rsidRPr="00C80D4B">
        <w:rPr>
          <w:rFonts w:eastAsia="Times New Roman"/>
          <w:noProof/>
          <w:lang w:val="sr-Cyrl-CS"/>
        </w:rPr>
        <w:t xml:space="preserve">, </w:t>
      </w:r>
      <w:r>
        <w:rPr>
          <w:rFonts w:eastAsia="Times New Roman"/>
          <w:noProof/>
          <w:lang w:val="sr-Cyrl-CS"/>
        </w:rPr>
        <w:t>opreme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oznaka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tužilačkih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istražilaca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8. </w:t>
      </w:r>
      <w:r>
        <w:rPr>
          <w:rFonts w:eastAsia="Times New Roman"/>
          <w:noProof/>
          <w:lang w:val="sr-Cyrl-CS"/>
        </w:rPr>
        <w:t>stav</w:t>
      </w:r>
      <w:r w:rsidRPr="00C80D4B">
        <w:rPr>
          <w:rFonts w:eastAsia="Times New Roman"/>
          <w:noProof/>
          <w:lang w:val="sr-Cyrl-CS"/>
        </w:rPr>
        <w:t xml:space="preserve"> 3),</w:t>
      </w:r>
    </w:p>
    <w:p w:rsidR="004C6B86" w:rsidRPr="00C80D4B" w:rsidRDefault="004C6B86" w:rsidP="006C5764">
      <w:pPr>
        <w:numPr>
          <w:ilvl w:val="0"/>
          <w:numId w:val="1"/>
        </w:numPr>
        <w:ind w:left="714" w:hanging="357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Pravilinik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korišćenju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sredstava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posebne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operativne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poslove</w:t>
      </w:r>
      <w:r w:rsidRPr="00C80D4B">
        <w:rPr>
          <w:rFonts w:eastAsia="Times New Roman"/>
          <w:noProof/>
          <w:lang w:val="sr-Cyrl-CS"/>
        </w:rPr>
        <w:t xml:space="preserve"> (</w:t>
      </w: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17).</w:t>
      </w:r>
    </w:p>
    <w:p w:rsidR="004C6B86" w:rsidRPr="00C80D4B" w:rsidRDefault="004C6B86" w:rsidP="006C5764">
      <w:pPr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32.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Ministar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pravde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roku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90 </w:t>
      </w:r>
      <w:r>
        <w:rPr>
          <w:rFonts w:eastAsia="Calibri"/>
          <w:noProof/>
          <w:lang w:val="sr-Cyrl-CS"/>
        </w:rPr>
        <w:t>dana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stupanja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snagu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uskladiti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akt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, </w:t>
      </w:r>
      <w:r>
        <w:rPr>
          <w:rFonts w:eastAsia="Calibri"/>
          <w:noProof/>
          <w:lang w:val="sr-Cyrl-CS"/>
        </w:rPr>
        <w:t>radu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postupanju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pritvorenicima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pritvorskoj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jedinici</w:t>
      </w:r>
      <w:r w:rsidRPr="00C80D4B">
        <w:rPr>
          <w:rFonts w:eastAsia="Calibri"/>
          <w:noProof/>
          <w:lang w:val="sr-Cyrl-CS"/>
        </w:rPr>
        <w:t xml:space="preserve">. </w:t>
      </w:r>
    </w:p>
    <w:p w:rsidR="004C6B86" w:rsidRPr="00F24D64" w:rsidRDefault="004C6B86" w:rsidP="006C5764">
      <w:pPr>
        <w:jc w:val="center"/>
        <w:rPr>
          <w:rFonts w:eastAsia="Calibri"/>
          <w:noProof/>
          <w:lang w:val="sr-Latn-BA"/>
        </w:rPr>
      </w:pP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33.</w:t>
      </w:r>
    </w:p>
    <w:p w:rsidR="004C6B86" w:rsidRPr="00C80D4B" w:rsidRDefault="004C6B86" w:rsidP="006C5764">
      <w:pPr>
        <w:jc w:val="center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(1)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Okružnog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Banjoj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Luci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roku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90 </w:t>
      </w:r>
      <w:r>
        <w:rPr>
          <w:rFonts w:eastAsia="Calibri"/>
          <w:noProof/>
          <w:lang w:val="sr-Cyrl-CS"/>
        </w:rPr>
        <w:t>dana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stupanja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snagu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donijeti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načinu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odjeljenja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12.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4).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  <w:r w:rsidRPr="00C80D4B">
        <w:rPr>
          <w:rFonts w:eastAsia="Calibri"/>
          <w:noProof/>
          <w:lang w:val="sr-Cyrl-CS"/>
        </w:rPr>
        <w:t xml:space="preserve">(2) </w:t>
      </w:r>
      <w:r>
        <w:rPr>
          <w:rFonts w:eastAsia="Calibri"/>
          <w:noProof/>
          <w:lang w:val="sr-Cyrl-CS"/>
        </w:rPr>
        <w:t>Predsjednik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Vrhovnog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suda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Republike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Srpske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će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roku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90 </w:t>
      </w:r>
      <w:r>
        <w:rPr>
          <w:rFonts w:eastAsia="Calibri"/>
          <w:noProof/>
          <w:lang w:val="sr-Cyrl-CS"/>
        </w:rPr>
        <w:t>dana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od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stupanja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snagu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ovog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zakona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donijeti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Pravilnik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organizaciji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i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načinu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rada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Posebnog</w:t>
      </w:r>
      <w:r w:rsidRPr="00C80D4B">
        <w:rPr>
          <w:rFonts w:eastAsia="Calibri"/>
          <w:noProof/>
          <w:lang w:val="sr-Cyrl-CS"/>
        </w:rPr>
        <w:t xml:space="preserve"> </w:t>
      </w:r>
      <w:r>
        <w:rPr>
          <w:rFonts w:eastAsia="Calibri"/>
          <w:noProof/>
          <w:lang w:val="sr-Cyrl-CS"/>
        </w:rPr>
        <w:t>vijeća</w:t>
      </w:r>
      <w:r w:rsidRPr="00C80D4B">
        <w:rPr>
          <w:rFonts w:eastAsia="Calibri"/>
          <w:noProof/>
          <w:lang w:val="sr-Cyrl-CS"/>
        </w:rPr>
        <w:t xml:space="preserve"> (</w:t>
      </w:r>
      <w:r>
        <w:rPr>
          <w:rFonts w:eastAsia="Calibri"/>
          <w:noProof/>
          <w:lang w:val="sr-Cyrl-CS"/>
        </w:rPr>
        <w:t>član</w:t>
      </w:r>
      <w:r w:rsidRPr="00C80D4B">
        <w:rPr>
          <w:rFonts w:eastAsia="Calibri"/>
          <w:noProof/>
          <w:lang w:val="sr-Cyrl-CS"/>
        </w:rPr>
        <w:t xml:space="preserve"> 14. </w:t>
      </w:r>
      <w:r>
        <w:rPr>
          <w:rFonts w:eastAsia="Calibri"/>
          <w:noProof/>
          <w:lang w:val="sr-Cyrl-CS"/>
        </w:rPr>
        <w:t>stav</w:t>
      </w:r>
      <w:r w:rsidRPr="00C80D4B">
        <w:rPr>
          <w:rFonts w:eastAsia="Calibri"/>
          <w:noProof/>
          <w:lang w:val="sr-Cyrl-CS"/>
        </w:rPr>
        <w:t xml:space="preserve"> 4).</w:t>
      </w:r>
    </w:p>
    <w:p w:rsidR="004C6B86" w:rsidRPr="00C80D4B" w:rsidRDefault="004C6B86" w:rsidP="006C5764">
      <w:pPr>
        <w:ind w:firstLine="708"/>
        <w:jc w:val="both"/>
        <w:rPr>
          <w:rFonts w:eastAsia="Calibri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34. 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Stupanjem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ovog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prestaje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da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važi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suzbijanju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organizovanog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najtežih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oblika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privrednog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kriminala</w:t>
      </w:r>
      <w:r w:rsidRPr="00C80D4B">
        <w:rPr>
          <w:rFonts w:eastAsia="Times New Roman"/>
          <w:noProof/>
          <w:lang w:val="sr-Cyrl-CS"/>
        </w:rPr>
        <w:t xml:space="preserve"> („</w:t>
      </w:r>
      <w:r>
        <w:rPr>
          <w:rFonts w:eastAsia="Times New Roman"/>
          <w:noProof/>
          <w:lang w:val="sr-Cyrl-CS"/>
        </w:rPr>
        <w:t>Službeni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glasnik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“, </w:t>
      </w:r>
      <w:r>
        <w:rPr>
          <w:rFonts w:eastAsia="Times New Roman"/>
          <w:noProof/>
          <w:lang w:val="sr-Cyrl-CS"/>
        </w:rPr>
        <w:t>br</w:t>
      </w:r>
      <w:r w:rsidRPr="00C80D4B">
        <w:rPr>
          <w:rFonts w:eastAsia="Times New Roman"/>
          <w:noProof/>
          <w:lang w:val="sr-Cyrl-CS"/>
        </w:rPr>
        <w:t xml:space="preserve">. 37/06, 69/06 </w:t>
      </w:r>
      <w:r>
        <w:rPr>
          <w:rFonts w:eastAsia="Times New Roman"/>
          <w:noProof/>
          <w:lang w:val="sr-Cyrl-CS"/>
        </w:rPr>
        <w:t>i</w:t>
      </w:r>
      <w:r w:rsidRPr="00C80D4B">
        <w:rPr>
          <w:rFonts w:eastAsia="Times New Roman"/>
          <w:noProof/>
          <w:lang w:val="sr-Cyrl-CS"/>
        </w:rPr>
        <w:t xml:space="preserve"> 99/07). </w:t>
      </w:r>
    </w:p>
    <w:p w:rsidR="004C6B86" w:rsidRPr="00C80D4B" w:rsidRDefault="004C6B86" w:rsidP="006C5764">
      <w:pPr>
        <w:jc w:val="both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Član</w:t>
      </w:r>
      <w:r w:rsidRPr="00C80D4B">
        <w:rPr>
          <w:rFonts w:eastAsia="Times New Roman"/>
          <w:noProof/>
          <w:lang w:val="sr-Cyrl-CS"/>
        </w:rPr>
        <w:t xml:space="preserve"> 35.</w:t>
      </w:r>
    </w:p>
    <w:p w:rsidR="004C6B86" w:rsidRPr="00C80D4B" w:rsidRDefault="004C6B86" w:rsidP="006C5764">
      <w:pPr>
        <w:jc w:val="center"/>
        <w:rPr>
          <w:rFonts w:eastAsia="Times New Roman"/>
          <w:noProof/>
          <w:lang w:val="sr-Cyrl-CS"/>
        </w:rPr>
      </w:pPr>
    </w:p>
    <w:p w:rsidR="004C6B86" w:rsidRPr="004C6B86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  <w:r>
        <w:rPr>
          <w:rFonts w:eastAsia="Times New Roman"/>
          <w:noProof/>
          <w:lang w:val="sr-Cyrl-CS"/>
        </w:rPr>
        <w:t>Ovaj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zakon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objavljuje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u</w:t>
      </w:r>
      <w:r w:rsidRPr="00C80D4B">
        <w:rPr>
          <w:rFonts w:eastAsia="Times New Roman"/>
          <w:noProof/>
          <w:lang w:val="sr-Cyrl-CS"/>
        </w:rPr>
        <w:t xml:space="preserve"> „</w:t>
      </w:r>
      <w:r>
        <w:rPr>
          <w:rFonts w:eastAsia="Times New Roman"/>
          <w:noProof/>
          <w:lang w:val="sr-Cyrl-CS"/>
        </w:rPr>
        <w:t>Službenom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glasniku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Republike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Srpske</w:t>
      </w:r>
      <w:r w:rsidRPr="00C80D4B">
        <w:rPr>
          <w:rFonts w:eastAsia="Times New Roman"/>
          <w:noProof/>
          <w:lang w:val="sr-Cyrl-CS"/>
        </w:rPr>
        <w:t xml:space="preserve">“, </w:t>
      </w:r>
      <w:r>
        <w:rPr>
          <w:rFonts w:eastAsia="Times New Roman"/>
          <w:noProof/>
          <w:lang w:val="sr-Cyrl-CS"/>
        </w:rPr>
        <w:t>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stupa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na</w:t>
      </w:r>
      <w:r w:rsidRPr="00C80D4B">
        <w:rPr>
          <w:rFonts w:eastAsia="Times New Roman"/>
          <w:noProof/>
          <w:lang w:val="sr-Cyrl-CS"/>
        </w:rPr>
        <w:t xml:space="preserve"> </w:t>
      </w:r>
      <w:r>
        <w:rPr>
          <w:rFonts w:eastAsia="Times New Roman"/>
          <w:noProof/>
          <w:lang w:val="sr-Cyrl-CS"/>
        </w:rPr>
        <w:t>snagu</w:t>
      </w:r>
      <w:r w:rsidRPr="00C80D4B">
        <w:rPr>
          <w:rFonts w:eastAsia="Times New Roman"/>
          <w:noProof/>
          <w:lang w:val="sr-Cyrl-CS"/>
        </w:rPr>
        <w:t xml:space="preserve"> 1. </w:t>
      </w:r>
      <w:r>
        <w:rPr>
          <w:rFonts w:eastAsia="Times New Roman"/>
          <w:noProof/>
          <w:lang w:val="sr-Cyrl-CS"/>
        </w:rPr>
        <w:t>jula</w:t>
      </w:r>
      <w:r w:rsidRPr="00C80D4B">
        <w:rPr>
          <w:rFonts w:eastAsia="Times New Roman"/>
          <w:noProof/>
          <w:lang w:val="sr-Cyrl-CS"/>
        </w:rPr>
        <w:t xml:space="preserve"> 2016. </w:t>
      </w:r>
      <w:r>
        <w:rPr>
          <w:rFonts w:eastAsia="Times New Roman"/>
          <w:noProof/>
          <w:lang w:val="sr-Cyrl-CS"/>
        </w:rPr>
        <w:t>godine</w:t>
      </w:r>
      <w:r w:rsidRPr="00C80D4B">
        <w:rPr>
          <w:rFonts w:eastAsia="Times New Roman"/>
          <w:noProof/>
          <w:lang w:val="sr-Cyrl-CS"/>
        </w:rPr>
        <w:t>.</w:t>
      </w:r>
    </w:p>
    <w:p w:rsidR="004C6B86" w:rsidRPr="004C6B86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</w:p>
    <w:p w:rsidR="004C6B86" w:rsidRPr="004C6B86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</w:p>
    <w:p w:rsidR="004C6B86" w:rsidRPr="004C6B86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</w:p>
    <w:p w:rsidR="004C6B86" w:rsidRPr="004C6B86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</w:p>
    <w:p w:rsidR="004C6B86" w:rsidRPr="004C6B86" w:rsidRDefault="004C6B86" w:rsidP="006C5764">
      <w:pPr>
        <w:ind w:firstLine="708"/>
        <w:jc w:val="both"/>
        <w:rPr>
          <w:rFonts w:eastAsia="Times New Roman"/>
          <w:noProof/>
          <w:lang w:val="sr-Cyrl-CS"/>
        </w:rPr>
      </w:pPr>
    </w:p>
    <w:p w:rsidR="004C6B86" w:rsidRPr="00C80D4B" w:rsidRDefault="004C6B86" w:rsidP="006C5764">
      <w:pPr>
        <w:ind w:firstLine="708"/>
        <w:jc w:val="both"/>
        <w:rPr>
          <w:rFonts w:eastAsia="Times New Roman"/>
          <w:b/>
          <w:noProof/>
          <w:lang w:val="sr-Cyrl-CS"/>
        </w:rPr>
      </w:pPr>
    </w:p>
    <w:p w:rsidR="004C6B86" w:rsidRPr="004C6B86" w:rsidRDefault="004C6B86" w:rsidP="006C5764">
      <w:pPr>
        <w:jc w:val="both"/>
        <w:rPr>
          <w:rFonts w:eastAsia="Times New Roman"/>
          <w:lang w:val="da-DK"/>
        </w:rPr>
      </w:pPr>
      <w:r w:rsidRPr="004C6B86">
        <w:rPr>
          <w:rFonts w:eastAsia="Times New Roman"/>
          <w:lang w:val="da-DK"/>
        </w:rPr>
        <w:t>Broj: 02/1-021-128/16</w:t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  <w:t xml:space="preserve">         </w:t>
      </w:r>
      <w:r w:rsidRPr="00ED15C9">
        <w:rPr>
          <w:rFonts w:eastAsia="Times New Roman"/>
          <w:lang w:val="sr-Cyrl-CS"/>
        </w:rPr>
        <w:t xml:space="preserve">       </w:t>
      </w:r>
      <w:r w:rsidRPr="004C6B86">
        <w:rPr>
          <w:rFonts w:eastAsia="Times New Roman"/>
          <w:lang w:val="da-DK"/>
        </w:rPr>
        <w:t>PREDSJEDNIK</w:t>
      </w:r>
    </w:p>
    <w:p w:rsidR="004C6B86" w:rsidRPr="004C6B86" w:rsidRDefault="004C6B86" w:rsidP="006C5764">
      <w:pPr>
        <w:jc w:val="both"/>
        <w:rPr>
          <w:rFonts w:eastAsia="Times New Roman"/>
          <w:lang w:val="da-DK"/>
        </w:rPr>
      </w:pPr>
      <w:r w:rsidRPr="004C6B86">
        <w:rPr>
          <w:rFonts w:eastAsia="Times New Roman"/>
          <w:lang w:val="da-DK"/>
        </w:rPr>
        <w:t xml:space="preserve">Datum: </w:t>
      </w:r>
      <w:r>
        <w:rPr>
          <w:rFonts w:eastAsia="Times New Roman"/>
          <w:lang w:val="sr-Cyrl-BA"/>
        </w:rPr>
        <w:t>11. februar 2016</w:t>
      </w:r>
      <w:r w:rsidRPr="004C6B86">
        <w:rPr>
          <w:rFonts w:eastAsia="Times New Roman"/>
          <w:lang w:val="da-DK"/>
        </w:rPr>
        <w:t>. godine</w:t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  <w:t xml:space="preserve">                </w:t>
      </w:r>
      <w:r w:rsidRPr="004C6B86">
        <w:rPr>
          <w:rFonts w:eastAsia="Times New Roman"/>
          <w:lang w:val="da-DK"/>
        </w:rPr>
        <w:tab/>
        <w:t xml:space="preserve">        NARODNE SKUPŠTINE</w:t>
      </w:r>
    </w:p>
    <w:p w:rsidR="004C6B86" w:rsidRPr="004C6B86" w:rsidRDefault="004C6B86" w:rsidP="006C5764">
      <w:pPr>
        <w:ind w:left="360"/>
        <w:jc w:val="both"/>
        <w:rPr>
          <w:rFonts w:eastAsia="Times New Roman"/>
          <w:lang w:val="da-DK"/>
        </w:rPr>
      </w:pPr>
    </w:p>
    <w:p w:rsidR="004C6B86" w:rsidRPr="009F1C7B" w:rsidRDefault="004C6B86" w:rsidP="006C5764">
      <w:pPr>
        <w:jc w:val="both"/>
        <w:rPr>
          <w:rFonts w:eastAsia="Times New Roman"/>
          <w:lang w:val="sr-Cyrl-BA" w:eastAsia="zh-CN"/>
        </w:rPr>
      </w:pP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</w:r>
      <w:r w:rsidRPr="004C6B86">
        <w:rPr>
          <w:rFonts w:eastAsia="Times New Roman"/>
          <w:lang w:val="da-DK"/>
        </w:rPr>
        <w:tab/>
        <w:t xml:space="preserve">                        </w:t>
      </w:r>
      <w:r w:rsidRPr="00ED15C9">
        <w:rPr>
          <w:rFonts w:eastAsia="Times New Roman"/>
          <w:b/>
          <w:bCs/>
          <w:i/>
          <w:iCs/>
          <w:lang w:val="sr-Cyrl-BA"/>
        </w:rPr>
        <w:t>Nedeljko Čubrilović</w:t>
      </w:r>
    </w:p>
    <w:p w:rsidR="004C6B86" w:rsidRPr="009F1C7B" w:rsidRDefault="004C6B86" w:rsidP="006C5764">
      <w:pPr>
        <w:tabs>
          <w:tab w:val="left" w:pos="720"/>
        </w:tabs>
        <w:suppressAutoHyphens/>
        <w:spacing w:before="120" w:after="120" w:line="100" w:lineRule="atLeast"/>
        <w:rPr>
          <w:rFonts w:eastAsia="Times New Roman"/>
          <w:lang w:val="sr-Cyrl-BA" w:eastAsia="zh-CN"/>
        </w:rPr>
      </w:pPr>
    </w:p>
    <w:p w:rsidR="004C6B86" w:rsidRPr="006C5764" w:rsidRDefault="004C6B86" w:rsidP="006C5764">
      <w:pPr>
        <w:spacing w:after="200" w:line="276" w:lineRule="auto"/>
        <w:jc w:val="center"/>
        <w:rPr>
          <w:rFonts w:eastAsia="Calibri"/>
          <w:b/>
          <w:noProof/>
          <w:lang w:val="sr-Cyrl-CS"/>
        </w:rPr>
      </w:pPr>
    </w:p>
    <w:sectPr w:rsidR="004C6B86" w:rsidRPr="006C57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5AD2"/>
    <w:multiLevelType w:val="hybridMultilevel"/>
    <w:tmpl w:val="3C7A7EA0"/>
    <w:lvl w:ilvl="0" w:tplc="4552AC5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906DF2"/>
    <w:multiLevelType w:val="hybridMultilevel"/>
    <w:tmpl w:val="A246FFCC"/>
    <w:lvl w:ilvl="0" w:tplc="5B565E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3017FE"/>
    <w:multiLevelType w:val="hybridMultilevel"/>
    <w:tmpl w:val="8034B102"/>
    <w:lvl w:ilvl="0" w:tplc="17B0FCD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4B"/>
    <w:rsid w:val="001012B8"/>
    <w:rsid w:val="002650E3"/>
    <w:rsid w:val="004C6B86"/>
    <w:rsid w:val="007C65A3"/>
    <w:rsid w:val="00C80D4B"/>
    <w:rsid w:val="00E745D7"/>
    <w:rsid w:val="00F24D64"/>
    <w:rsid w:val="00F5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373D66-3004-4DBC-A175-3737B299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2809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18785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4</cp:revision>
  <cp:lastPrinted>2016-02-12T08:10:00Z</cp:lastPrinted>
  <dcterms:created xsi:type="dcterms:W3CDTF">2016-05-24T09:35:00Z</dcterms:created>
  <dcterms:modified xsi:type="dcterms:W3CDTF">2016-05-24T09:42:00Z</dcterms:modified>
</cp:coreProperties>
</file>